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D8" w:rsidRDefault="00EE6CD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E6CD8" w:rsidRDefault="00EE6CD8">
      <w:pPr>
        <w:pStyle w:val="newncpi"/>
        <w:ind w:firstLine="0"/>
        <w:jc w:val="center"/>
      </w:pPr>
      <w:r>
        <w:rPr>
          <w:rStyle w:val="datepr"/>
        </w:rPr>
        <w:t>13 декабря 2012 г.</w:t>
      </w:r>
      <w:r>
        <w:rPr>
          <w:rStyle w:val="number"/>
        </w:rPr>
        <w:t xml:space="preserve"> № 1147</w:t>
      </w:r>
    </w:p>
    <w:p w:rsidR="00EE6CD8" w:rsidRDefault="00EE6CD8">
      <w:pPr>
        <w:pStyle w:val="title"/>
      </w:pPr>
      <w:r>
        <w:t>Об утверждении перечня контролирующих (надзорных) органов и (или) сфер контроля (надзора), которые применяют (в которых применяются) контрольные списки вопросов (</w:t>
      </w:r>
      <w:proofErr w:type="gramStart"/>
      <w:r>
        <w:t>чек-листы</w:t>
      </w:r>
      <w:proofErr w:type="gramEnd"/>
      <w:r>
        <w:t>), определении требований к форме контрольного списка вопросов (чек-листа) и признании утратившим силу постановления Совета Министров Республики Беларусь от 1 апреля 2010 г. № 489</w:t>
      </w:r>
    </w:p>
    <w:p w:rsidR="00EE6CD8" w:rsidRDefault="00EE6CD8">
      <w:pPr>
        <w:pStyle w:val="changei"/>
      </w:pPr>
      <w:r>
        <w:t>Изменения и дополнения: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30 сентября 2013 г. № 855 (Национальный правовой Интернет-портал Республики Беларусь, 05.10.2013, 5/37873) &lt;C21300855&gt;;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11 ноября 2013 г. № 963 (Национальный правовой Интернет-портал Республики Беларусь, 14.11.2013, 5/38010) &lt;C21300963&gt;;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5 декабря 2014 г. № 1144 (Национальный правовой Интернет-портал Республики Беларусь, 10.12.2014, 5/39799) &lt;C21401144&gt; </w:t>
      </w:r>
      <w:r>
        <w:rPr>
          <w:b/>
          <w:bCs/>
        </w:rPr>
        <w:t>- вступает в силу 4 января 2015 г.</w:t>
      </w:r>
      <w:r>
        <w:t>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19 декабря 2014 г. № 1202 (Национальный правовой Интернет-портал Республики Беларусь, 23.12.2014, 5/39878) &lt;C21401202&gt;;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17 августа 2015 г. № 689 (Национальный правовой Интернет-портал Республики Беларусь, 20.08.2015, 5/40932) &lt;C21500689&gt;;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30 января 2016 г. № 76 (Национальный правовой Интернет-портал Республики Беларусь, 03.02.2016, 5/41632) &lt;C21600076&gt;;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25 января 2017 г. № 72 (Национальный правовой Интернет-портал Республики Беларусь, 27.01.2017, 5/43282) &lt;C21700072&gt;;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28 декабря 2017 г. № 1029 (Национальный правовой Интернет-портал Республики Беларусь, 05.01.2018, 5/44644) &lt;C21701029&gt; - внесены изменения и дополнения, вступившие в силу 1 января 2018 г., за исключением изменений и дополнений, которые вступят в силу 5 января 2018 г.;</w:t>
      </w:r>
    </w:p>
    <w:p w:rsidR="00EE6CD8" w:rsidRDefault="00EE6CD8">
      <w:pPr>
        <w:pStyle w:val="changeadd"/>
      </w:pPr>
      <w:r>
        <w:t>Постановление Совета Министров Республики Беларусь от 28 декабря 2017 г. № 1029 (Национальный правовой Интернет-портал Республики Беларусь, 05.01.2018, 5/44644) &lt;C21701029&gt; - внесены изменения и дополнения, вступившие в силу 1 января 2018 г. и 5 января 2018 г.</w:t>
      </w:r>
    </w:p>
    <w:p w:rsidR="00EE6CD8" w:rsidRDefault="00EE6CD8">
      <w:pPr>
        <w:pStyle w:val="newncpi"/>
      </w:pPr>
      <w:r>
        <w:t> </w:t>
      </w:r>
    </w:p>
    <w:p w:rsidR="00EE6CD8" w:rsidRDefault="00EE6CD8">
      <w:pPr>
        <w:pStyle w:val="preamble"/>
      </w:pPr>
      <w:r>
        <w:t>В соответствии с абзацем третьим подпункта 5.4 пункта 5 Указа Президента Республики Беларусь от 26 июля 2012 г. № 332 «О некоторых мерах по совершенствованию контрольной (надзорной) деятельности в Республике Беларусь» Совет Министров Республики Беларусь ПОСТАНОВЛЯЕТ:</w:t>
      </w:r>
    </w:p>
    <w:p w:rsidR="00EE6CD8" w:rsidRDefault="00EE6CD8">
      <w:pPr>
        <w:pStyle w:val="point"/>
      </w:pPr>
      <w:r>
        <w:lastRenderedPageBreak/>
        <w:t>1. Утвердить прилагаемый перечень контролирующих (надзорных) органов и (или) сфер контроля (надзора), которые применяют (в которых применяются) контрольные списки вопросов (</w:t>
      </w:r>
      <w:proofErr w:type="gramStart"/>
      <w:r>
        <w:t>чек-листы</w:t>
      </w:r>
      <w:proofErr w:type="gramEnd"/>
      <w:r>
        <w:t>).</w:t>
      </w:r>
    </w:p>
    <w:p w:rsidR="00EE6CD8" w:rsidRDefault="00EE6CD8">
      <w:pPr>
        <w:pStyle w:val="point"/>
      </w:pPr>
      <w:r>
        <w:t>2. Определить, что форма контрольного списка вопросов (</w:t>
      </w:r>
      <w:proofErr w:type="gramStart"/>
      <w:r>
        <w:t>чек-листа</w:t>
      </w:r>
      <w:proofErr w:type="gramEnd"/>
      <w:r>
        <w:t>) включает:</w:t>
      </w:r>
    </w:p>
    <w:p w:rsidR="00EE6CD8" w:rsidRDefault="00EE6CD8">
      <w:pPr>
        <w:pStyle w:val="underpoint"/>
      </w:pPr>
      <w:r>
        <w:t>2.1. титульный лист, содержащий сведения:</w:t>
      </w:r>
    </w:p>
    <w:p w:rsidR="00EE6CD8" w:rsidRDefault="00EE6CD8">
      <w:pPr>
        <w:pStyle w:val="underpoint"/>
      </w:pPr>
      <w:r>
        <w:t>2.1.1. о контролирующем (надзорном) органе:</w:t>
      </w:r>
    </w:p>
    <w:p w:rsidR="00EE6CD8" w:rsidRDefault="00EE6CD8">
      <w:pPr>
        <w:pStyle w:val="newncpi"/>
      </w:pPr>
      <w:r>
        <w:t>наименование контролирующего (надзорного) органа, его ведомственная принадлежность (при наличии);</w:t>
      </w:r>
    </w:p>
    <w:p w:rsidR="00EE6CD8" w:rsidRDefault="00EE6CD8">
      <w:pPr>
        <w:pStyle w:val="newncpi"/>
      </w:pPr>
      <w:r>
        <w:t>указание сферы контроля (надзора);</w:t>
      </w:r>
    </w:p>
    <w:p w:rsidR="00EE6CD8" w:rsidRDefault="00EE6CD8">
      <w:pPr>
        <w:pStyle w:val="newncpi"/>
      </w:pPr>
      <w:r>
        <w:t>номер контрольного списка вопросов (</w:t>
      </w:r>
      <w:proofErr w:type="gramStart"/>
      <w:r>
        <w:t>чек-листа</w:t>
      </w:r>
      <w:proofErr w:type="gramEnd"/>
      <w:r>
        <w:t>);</w:t>
      </w:r>
    </w:p>
    <w:p w:rsidR="00EE6CD8" w:rsidRDefault="00EE6CD8">
      <w:pPr>
        <w:pStyle w:val="newncpi"/>
      </w:pPr>
      <w:r>
        <w:t>дата начала и завершения заполнения контрольного списка вопросов (</w:t>
      </w:r>
      <w:proofErr w:type="gramStart"/>
      <w:r>
        <w:t>чек-листа</w:t>
      </w:r>
      <w:proofErr w:type="gramEnd"/>
      <w:r>
        <w:t>) или дата его направления;</w:t>
      </w:r>
    </w:p>
    <w:p w:rsidR="00EE6CD8" w:rsidRDefault="00EE6CD8">
      <w:pPr>
        <w:pStyle w:val="newncpi"/>
      </w:pPr>
      <w:r>
        <w:t>отметка о заполнении контрольного списка вопросов (</w:t>
      </w:r>
      <w:proofErr w:type="gramStart"/>
      <w:r>
        <w:t>чек-листа</w:t>
      </w:r>
      <w:proofErr w:type="gramEnd"/>
      <w:r>
        <w:t>) в ходе проверки или для использования при планировании проверок;</w:t>
      </w:r>
    </w:p>
    <w:p w:rsidR="00EE6CD8" w:rsidRDefault="00EE6CD8">
      <w:pPr>
        <w:pStyle w:val="newncpi"/>
      </w:pPr>
      <w:r>
        <w:t>вид проверки (выборочная, внеплановая);</w:t>
      </w:r>
    </w:p>
    <w:p w:rsidR="00EE6CD8" w:rsidRDefault="00EE6CD8">
      <w:pPr>
        <w:pStyle w:val="newncpi"/>
      </w:pPr>
      <w: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(чек-лист);</w:t>
      </w:r>
    </w:p>
    <w:p w:rsidR="00EE6CD8" w:rsidRDefault="00EE6CD8">
      <w:pPr>
        <w:pStyle w:val="underpoint"/>
      </w:pPr>
      <w:r>
        <w:t>2.1.2. о проверяемом субъекте:</w:t>
      </w:r>
    </w:p>
    <w:p w:rsidR="00EE6CD8" w:rsidRDefault="00EE6CD8">
      <w:pPr>
        <w:pStyle w:val="newncpi"/>
      </w:pPr>
      <w:r>
        <w:t>учетный номер плательщика;</w:t>
      </w:r>
    </w:p>
    <w:p w:rsidR="00EE6CD8" w:rsidRDefault="00EE6CD8">
      <w:pPr>
        <w:pStyle w:val="newncpi"/>
      </w:pPr>
      <w:r>
        <w:t>наименование (фамилия, собственное имя, отчество (если таковое имеется) проверяемого субъекта;</w:t>
      </w:r>
    </w:p>
    <w:p w:rsidR="00EE6CD8" w:rsidRDefault="00EE6CD8">
      <w:pPr>
        <w:pStyle w:val="newncpi"/>
      </w:pPr>
      <w:r>
        <w:t>место нахождения проверяемого субъекта (объекта проверяемого субъекта);</w:t>
      </w:r>
    </w:p>
    <w:p w:rsidR="00EE6CD8" w:rsidRDefault="00EE6CD8">
      <w:pPr>
        <w:pStyle w:val="newncpi"/>
      </w:pPr>
      <w:r>
        <w:t>место осуществления деятельности;</w:t>
      </w:r>
    </w:p>
    <w:p w:rsidR="00EE6CD8" w:rsidRDefault="00EE6CD8">
      <w:pPr>
        <w:pStyle w:val="newncpi"/>
      </w:pPr>
      <w:r>
        <w:t>необходимые характеристики объекта проверяемого субъекта (устанавливаются контролирующим (надзорным) органом);</w:t>
      </w:r>
    </w:p>
    <w:p w:rsidR="00EE6CD8" w:rsidRDefault="00EE6CD8">
      <w:pPr>
        <w:pStyle w:val="newncpi"/>
      </w:pPr>
      <w:r>
        <w:t>инициалы, фамилия, должность, контактный телефон представителя (представителей) проверяемого субъекта;</w:t>
      </w:r>
    </w:p>
    <w:p w:rsidR="00EE6CD8" w:rsidRDefault="00EE6CD8">
      <w:pPr>
        <w:pStyle w:val="underpoint"/>
      </w:pPr>
      <w:r>
        <w:t>2.2. перечень требований, предъявляемых к проверяемому субъекту.</w:t>
      </w:r>
    </w:p>
    <w:p w:rsidR="00EE6CD8" w:rsidRDefault="00EE6CD8">
      <w:pPr>
        <w:pStyle w:val="newncpi"/>
      </w:pPr>
      <w:r>
        <w:t>Данный перечень не может носить общий или отсылочный характер, формируется контролирующим (надзорным) органом со ссылкой на структурные элементы нормативных правовых актов, в том числе технических нормативных правовых актов, технических регламентов Таможенного союза, Евразийского экономического союза, устанавливающих требования, предъявляемые к проверяемому субъекту. Формулировки таких требований должны исключать возможность их различного толкования и предусматривать однозначные ответы («да», «нет», «не требуется») либо указание количественного показателя.</w:t>
      </w:r>
    </w:p>
    <w:p w:rsidR="00EE6CD8" w:rsidRDefault="00EE6CD8">
      <w:pPr>
        <w:pStyle w:val="newncpi"/>
      </w:pPr>
      <w:r>
        <w:t>В названном перечне должны содержаться следующие позиции для отражения сведений о соблюдении проверяемым субъектом требований, предъявляемых в соответствии с нормативными правовыми актами, в том числе техническими нормативными правовыми актами, техническими регламентами Таможенного союза, Евразийского экономического союза:</w:t>
      </w:r>
    </w:p>
    <w:p w:rsidR="00EE6CD8" w:rsidRDefault="00EE6CD8">
      <w:pPr>
        <w:pStyle w:val="newncpi"/>
      </w:pPr>
      <w:r>
        <w:t>позиция «Да» (если предъявляемое требование реализовано в полном объеме);</w:t>
      </w:r>
    </w:p>
    <w:p w:rsidR="00EE6CD8" w:rsidRDefault="00EE6CD8">
      <w:pPr>
        <w:pStyle w:val="newncpi"/>
      </w:pPr>
      <w:r>
        <w:t>позиция «Нет» (если предъявляемое требование не реализовано или реализовано не в полном объеме);</w:t>
      </w:r>
    </w:p>
    <w:p w:rsidR="00EE6CD8" w:rsidRDefault="00EE6CD8">
      <w:pPr>
        <w:pStyle w:val="newncpi"/>
      </w:pPr>
      <w:r>
        <w:t>позиция «Не требуется» (если предъявляемое требование не подлежит реализации проверяемым субъектом и (или) контролю (надзору) применительно к данному проверяемому субъекту);</w:t>
      </w:r>
    </w:p>
    <w:p w:rsidR="00EE6CD8" w:rsidRDefault="00EE6CD8">
      <w:pPr>
        <w:pStyle w:val="newncpi"/>
      </w:pPr>
      <w:r>
        <w:t>позиция «Количественный показатель» (если предъявляемое требование подлежит количественной оценке);</w:t>
      </w:r>
    </w:p>
    <w:p w:rsidR="00EE6CD8" w:rsidRDefault="00EE6CD8">
      <w:pPr>
        <w:pStyle w:val="newncpi"/>
      </w:pPr>
      <w:r>
        <w:t>позиция «Примечание» (для отражения поясняющей записи, если предъявляемое требование реализовано не в полном объеме, и иных пояснений);</w:t>
      </w:r>
    </w:p>
    <w:p w:rsidR="00EE6CD8" w:rsidRDefault="00EE6CD8">
      <w:pPr>
        <w:pStyle w:val="underpoint"/>
      </w:pPr>
      <w:r>
        <w:lastRenderedPageBreak/>
        <w:t>2.3. позиции для проставления подписи, инициалов, фамилии, должности проверяющего (руководителя проверки) и представителя проверяемого субъекта, даты подписания указанными лицами контрольного списка вопросов (</w:t>
      </w:r>
      <w:proofErr w:type="gramStart"/>
      <w:r>
        <w:t>чек-листа</w:t>
      </w:r>
      <w:proofErr w:type="gramEnd"/>
      <w:r>
        <w:t>);</w:t>
      </w:r>
    </w:p>
    <w:p w:rsidR="00EE6CD8" w:rsidRDefault="00EE6CD8">
      <w:pPr>
        <w:pStyle w:val="underpoint"/>
      </w:pPr>
      <w:r>
        <w:t>2.4. перечень нормативных правовых актов, в том числе технических нормативных правовых актов, технических регламентов Таможенного союза, Евразийского экономического союза, в соответствии с которыми предъявлены требования к проверяемому субъекту;</w:t>
      </w:r>
    </w:p>
    <w:p w:rsidR="00EE6CD8" w:rsidRDefault="00EE6CD8">
      <w:pPr>
        <w:pStyle w:val="underpoint"/>
      </w:pPr>
      <w:r>
        <w:t>2.5. пояснения по заполнению контрольного списка вопросов (</w:t>
      </w:r>
      <w:proofErr w:type="gramStart"/>
      <w:r>
        <w:t>чек-листа</w:t>
      </w:r>
      <w:proofErr w:type="gramEnd"/>
      <w:r>
        <w:t>).</w:t>
      </w:r>
    </w:p>
    <w:p w:rsidR="00EE6CD8" w:rsidRDefault="00EE6CD8">
      <w:pPr>
        <w:pStyle w:val="point"/>
      </w:pPr>
      <w:r>
        <w:t>3. Республиканским органам государственного управления и иным государственным организациям, подчиненным Правительству Республики Беларусь, до 15 января 2013 г. утвердить формы контрольных списков вопросов (</w:t>
      </w:r>
      <w:proofErr w:type="gramStart"/>
      <w:r>
        <w:t>чек-листов</w:t>
      </w:r>
      <w:proofErr w:type="gramEnd"/>
      <w:r>
        <w:t>) с учетом требований, установленных в пункте 2 настоящего постановления, и обеспечить их размещение на официальных сайтах соответствующих контролирующих (надзорных) органов в глобальной компьютерной сети Интернет.</w:t>
      </w:r>
    </w:p>
    <w:p w:rsidR="00EE6CD8" w:rsidRDefault="00EE6CD8">
      <w:pPr>
        <w:pStyle w:val="point"/>
      </w:pPr>
      <w:r>
        <w:t>3</w:t>
      </w:r>
      <w:r>
        <w:rPr>
          <w:vertAlign w:val="superscript"/>
        </w:rPr>
        <w:t>1</w:t>
      </w:r>
      <w:r>
        <w:t>. Министерству труда и социальной защиты разработать и утвердить формы контрольных списков вопросов (</w:t>
      </w:r>
      <w:proofErr w:type="gramStart"/>
      <w:r>
        <w:t>чек-листов</w:t>
      </w:r>
      <w:proofErr w:type="gramEnd"/>
      <w:r>
        <w:t>) в сферах надзора, указанных в пункте 12 перечня контролирующих (надзорных) органов и (или) сфер контроля (надзора), которые применяют (в которых применяются) контрольные списки вопросов (чек-листы), утвержденного настоящим постановлением, с учетом требований, установленных в пункте 2 настоящего постановления.</w:t>
      </w:r>
    </w:p>
    <w:p w:rsidR="00EE6CD8" w:rsidRDefault="00EE6CD8">
      <w:pPr>
        <w:pStyle w:val="point"/>
      </w:pPr>
      <w:r>
        <w:t>4. Местные исполнительные и распорядительные органы применяют формы контрольных списков вопросов (</w:t>
      </w:r>
      <w:proofErr w:type="gramStart"/>
      <w:r>
        <w:t>чек-листов</w:t>
      </w:r>
      <w:proofErr w:type="gramEnd"/>
      <w:r>
        <w:t>), разработанные Министерством труда и социальной защиты в соответствии с пунктом 3</w:t>
      </w:r>
      <w:r>
        <w:rPr>
          <w:vertAlign w:val="superscript"/>
        </w:rPr>
        <w:t>1</w:t>
      </w:r>
      <w:r>
        <w:t xml:space="preserve"> настоящего постановления, и обеспечивают их размещение на своих официальных сайтах в глобальной компьютерной сети Интернет.</w:t>
      </w:r>
    </w:p>
    <w:p w:rsidR="00EE6CD8" w:rsidRDefault="00EE6CD8">
      <w:pPr>
        <w:pStyle w:val="point"/>
      </w:pPr>
      <w:r>
        <w:t>5. Признать утратившим силу постановление Совета Министров Республики Беларусь от 1 апреля 2010 г. № 489 «Об утверждении форм контрольного списка вопросов (</w:t>
      </w:r>
      <w:proofErr w:type="gramStart"/>
      <w:r>
        <w:t>чек-листа</w:t>
      </w:r>
      <w:proofErr w:type="gramEnd"/>
      <w:r>
        <w:t>), перечня контролирующих (надзорных) органов и сфер контроля (надзора), которые применяют (в которых применяется) контрольный список вопросов (чек-лист)» (Национальный реестр правовых актов Республики Беларусь, 2010 г., № 84, 5/31575).</w:t>
      </w:r>
    </w:p>
    <w:p w:rsidR="00EE6CD8" w:rsidRDefault="00EE6CD8">
      <w:pPr>
        <w:pStyle w:val="point"/>
      </w:pPr>
      <w:r>
        <w:t>6. Настоящее постановление вступает в силу с 15 января 2013 г., за исключением пункта 3, вступающего в силу со дня официального опубликования настоящего постановления.</w:t>
      </w:r>
    </w:p>
    <w:p w:rsidR="00EE6CD8" w:rsidRDefault="00EE6CD8">
      <w:pPr>
        <w:pStyle w:val="newncpi"/>
      </w:pPr>
      <w:r>
        <w:t> </w:t>
      </w:r>
    </w:p>
    <w:tbl>
      <w:tblPr>
        <w:tblW w:w="499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4"/>
      </w:tblGrid>
      <w:tr w:rsidR="00EE6CD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6CD8" w:rsidRDefault="00EE6CD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6CD8" w:rsidRDefault="00EE6CD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EE6CD8" w:rsidRDefault="00EE6CD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2720"/>
      </w:tblGrid>
      <w:tr w:rsidR="00EE6CD8">
        <w:tc>
          <w:tcPr>
            <w:tcW w:w="35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cap1"/>
            </w:pPr>
            <w:r>
              <w:t> </w:t>
            </w:r>
          </w:p>
        </w:tc>
        <w:tc>
          <w:tcPr>
            <w:tcW w:w="1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capu1"/>
            </w:pPr>
            <w:r>
              <w:t>УТВЕРЖДЕНО</w:t>
            </w:r>
          </w:p>
          <w:p w:rsidR="00EE6CD8" w:rsidRDefault="00EE6CD8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13.12.2012 № 1147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28.12.2017 № 1029)</w:t>
            </w:r>
          </w:p>
        </w:tc>
      </w:tr>
    </w:tbl>
    <w:p w:rsidR="00EE6CD8" w:rsidRDefault="00EE6CD8">
      <w:pPr>
        <w:pStyle w:val="titleu"/>
      </w:pPr>
      <w:proofErr w:type="gramStart"/>
      <w:r>
        <w:t>ПЕРЕЧЕНЬ</w:t>
      </w:r>
      <w:r>
        <w:br/>
        <w:t>контролирующих (надзорных) органов и (или) сфер контроля (надзора), которые применяют (в которых применяются) контрольные списки вопросов (чек-листы)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6599"/>
      </w:tblGrid>
      <w:tr w:rsidR="00EE6CD8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6CD8" w:rsidRDefault="00EE6CD8">
            <w:pPr>
              <w:pStyle w:val="table10"/>
              <w:jc w:val="center"/>
            </w:pPr>
            <w:r>
              <w:t>Наименование контролирующих (надзорных) органов</w:t>
            </w:r>
          </w:p>
        </w:tc>
        <w:tc>
          <w:tcPr>
            <w:tcW w:w="3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6CD8" w:rsidRDefault="00EE6CD8">
            <w:pPr>
              <w:pStyle w:val="table10"/>
              <w:jc w:val="center"/>
            </w:pPr>
            <w:r>
              <w:t>Сфера контроля (надзора) в соответствии с Указом Президента Республики Беларусь от 16 октября 2009 г. № 510 «О совершенствовании контрольной (надзорной) деятельности в Республике Беларусь»*</w:t>
            </w:r>
          </w:p>
        </w:tc>
      </w:tr>
      <w:tr w:rsidR="00EE6CD8">
        <w:trPr>
          <w:trHeight w:val="240"/>
        </w:trPr>
        <w:tc>
          <w:tcPr>
            <w:tcW w:w="1489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lastRenderedPageBreak/>
              <w:t xml:space="preserve">1. Национальный банк </w:t>
            </w:r>
          </w:p>
        </w:tc>
        <w:tc>
          <w:tcPr>
            <w:tcW w:w="35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деятельностью банков и небанковских кредитно-финансовых организаций, юридических лиц, не являющихся банками или небанковскими кредитно-финансовыми организациями и признаваемых входящими в состав банковского холдинга </w:t>
            </w:r>
          </w:p>
        </w:tc>
      </w:tr>
      <w:tr w:rsidR="00EE6CD8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деятельностью открытого акционерного общества «Банк развития Республики Беларусь»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2. Министерство антимонопольного регулирования и торговли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контроль (надзор) за соблюдением требований технических регламентов Таможенного союза, Евразийского экономического союза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3. Министерство здравоохранения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условиями промышленного производства, аптечного изготовления, реализации, хранения, транспортировки и медицинского применения лекарственных средств в организациях здравоохранения </w:t>
            </w:r>
          </w:p>
        </w:tc>
      </w:tr>
      <w:tr w:rsidR="00EE6CD8">
        <w:tc>
          <w:tcPr>
            <w:tcW w:w="0" w:type="auto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>органы и учреждения, осуществляющие государственный санитарный надзор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контроль (надзор) за соблюдением требований технических регламентов Таможенного союза, Евразийского экономического союза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санитарный надзор за соблюдением законодательства в области санитарно-эпидемиологического благополучия населения </w:t>
            </w:r>
          </w:p>
        </w:tc>
      </w:tr>
      <w:tr w:rsidR="00EE6CD8">
        <w:tc>
          <w:tcPr>
            <w:tcW w:w="14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4. Министерство обороны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proofErr w:type="gramStart"/>
            <w:r>
              <w:t>контроль за</w:t>
            </w:r>
            <w:proofErr w:type="gramEnd"/>
            <w:r>
              <w:t xml:space="preserve"> деятельностью в области государственной авиации в части обеспечения безопасности полетов воздушных судов Республики Беларусь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потенциально опасными объектами, производствами и связанными с ними видами деятельности, имеющими специфику военного применения, перечень которых утверждается Советом Министров Республики Беларусь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5. Министерство по налогам и сборам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proofErr w:type="gramStart"/>
            <w:r>
              <w:t>контроль за</w:t>
            </w:r>
            <w:proofErr w:type="gramEnd"/>
            <w:r>
              <w:t xml:space="preserve"> деятельностью в сфере игорного бизнеса и соблюдением законодательства при осуществлении деятельности в этой сфере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>инспекции Министерства по налогам и сборам по областям, г. Минску, районам, городам и районам в городах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proofErr w:type="gramStart"/>
            <w:r>
              <w:t>контроль за</w:t>
            </w:r>
            <w:proofErr w:type="gramEnd"/>
            <w:r>
              <w:t xml:space="preserve">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6. Министерство по чрезвычайным ситуациям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контроль (надзор) за соблюдением требований технических регламентов Таможенного союза, Евразийского экономического союза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 xml:space="preserve">органы государственного пожарного надзора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государственный пожарный надзор, надзор за соблюдением законодательства при осуществлении деятельности по обеспечению пожарной безопасности</w:t>
            </w:r>
          </w:p>
        </w:tc>
      </w:tr>
      <w:tr w:rsidR="00EE6CD8">
        <w:trPr>
          <w:trHeight w:val="810"/>
        </w:trPr>
        <w:tc>
          <w:tcPr>
            <w:tcW w:w="0" w:type="auto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>Департамент по надзору за безопасным ведением работ в промышленности, областные, Минское городское управления Департамента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надзор за организацией работ в отношении опасных производственных объектов при осуществлении деятельности в области промышленной безопасности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надзор за организацией работ по обеспечению безопасной перевозки опасных грузов 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7. Министерство сельского хозяйства и продовольствия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контроль (надзор) за соблюдением требований технических регламентов Таможенного союза, Евразийского экономического союза </w:t>
            </w:r>
          </w:p>
        </w:tc>
      </w:tr>
      <w:tr w:rsidR="00EE6CD8">
        <w:tc>
          <w:tcPr>
            <w:tcW w:w="0" w:type="auto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>Департамент ветеринарного и продовольственного надзора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надзор за племенным делом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в области ветеринарии </w:t>
            </w:r>
          </w:p>
        </w:tc>
      </w:tr>
      <w:tr w:rsidR="00EE6CD8">
        <w:tc>
          <w:tcPr>
            <w:tcW w:w="0" w:type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>государственные организации, подчиненные Министерству сельского хозяйства и продовольствия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в области семеноводства, карантина и защиты сельскохозяйственных растений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8. Министерство труда и социальной защиты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 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lastRenderedPageBreak/>
              <w:t>Департамент государственной инспекции труда и его территориальные подразделения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за соблюдением законодательства о труде и об охране труда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9. Министерство финансов </w:t>
            </w:r>
          </w:p>
          <w:p w:rsidR="00EE6CD8" w:rsidRDefault="00EE6CD8">
            <w:pPr>
              <w:pStyle w:val="table10"/>
              <w:spacing w:before="120"/>
              <w:ind w:left="284"/>
            </w:pPr>
            <w:r>
              <w:t xml:space="preserve">территориальные органы Министерства финансов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за деятельностью страховых организаций и страховых брокеров</w:t>
            </w:r>
          </w:p>
        </w:tc>
      </w:tr>
      <w:tr w:rsidR="00EE6CD8"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10. Государственный комитет по имуществу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за соблюдением законодательства о геодезической и картографической деятельности</w:t>
            </w:r>
          </w:p>
        </w:tc>
      </w:tr>
      <w:tr w:rsidR="00EE6CD8">
        <w:tc>
          <w:tcPr>
            <w:tcW w:w="14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11. Государственный комитет по стандартизации </w:t>
            </w:r>
          </w:p>
          <w:p w:rsidR="00EE6CD8" w:rsidRDefault="00EE6CD8">
            <w:pPr>
              <w:pStyle w:val="table10"/>
              <w:spacing w:before="120"/>
              <w:ind w:left="284"/>
            </w:pPr>
            <w:r>
              <w:t>областные (по Минской области и г. Минску) инспекции государственного надзора за соблюдением требований технических регламентов и стандартов и государственного метрологического надзора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контроль (надзор) за выполнением требований законодательства об оценке соответствия, касающихся обязательного подтверждения соответствия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контроль (надзор) за соблюдением требований технических регламентов Таможенного союза, Евразийского экономического союза </w:t>
            </w:r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proofErr w:type="gramStart"/>
            <w:r>
              <w:t xml:space="preserve">государственный контроль (надзор) за соблюдением показателей, не включенных в технические регламенты Таможенного союза, Евразийского экономического союза, но задекларированных изготовителем (продавцом, поставщиком, импортером) продукции в договорах на поставку (продажу) продукции, в ее маркировке или эксплуатационной документации </w:t>
            </w:r>
            <w:proofErr w:type="gramEnd"/>
          </w:p>
        </w:tc>
      </w:tr>
      <w:tr w:rsidR="00EE6CD8">
        <w:tc>
          <w:tcPr>
            <w:tcW w:w="0" w:type="auto"/>
            <w:vMerge/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государственный метрологический надзор </w:t>
            </w:r>
          </w:p>
        </w:tc>
      </w:tr>
      <w:tr w:rsidR="00EE6CD8">
        <w:trPr>
          <w:trHeight w:val="1615"/>
        </w:trPr>
        <w:tc>
          <w:tcPr>
            <w:tcW w:w="1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  <w:ind w:left="284"/>
            </w:pPr>
            <w:r>
              <w:t xml:space="preserve">Департамент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, управления по надзору за рациональным использованием топливно-энергетических ресурсов по областям и г. Минску 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за рациональным использованием топлива, электрической и тепловой энергии, реализацией пользователями и производителями топливно-энергетических ресурсов мер по экономии этих ресурсов и соблюдением норм расхода котельно-печного топлива, электрической и тепловой энергии</w:t>
            </w:r>
          </w:p>
        </w:tc>
      </w:tr>
      <w:tr w:rsidR="00EE6CD8">
        <w:tc>
          <w:tcPr>
            <w:tcW w:w="1489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12. Местные исполнительные и распорядительные органы </w:t>
            </w:r>
          </w:p>
          <w:p w:rsidR="00EE6CD8" w:rsidRDefault="00EE6CD8">
            <w:pPr>
              <w:pStyle w:val="table10"/>
              <w:spacing w:before="120"/>
              <w:ind w:left="284"/>
            </w:pPr>
            <w:r>
              <w:t xml:space="preserve">облисполкомы и Минский горисполком </w:t>
            </w:r>
          </w:p>
          <w:p w:rsidR="00EE6CD8" w:rsidRDefault="00EE6CD8">
            <w:pPr>
              <w:pStyle w:val="table10"/>
              <w:spacing w:before="120"/>
              <w:ind w:left="284"/>
            </w:pPr>
            <w:r>
              <w:t>структурные подразделения областных, городских (кроме городов районного подчинения), районных исполнительных комитетов, местные администрации</w:t>
            </w:r>
          </w:p>
        </w:tc>
        <w:tc>
          <w:tcPr>
            <w:tcW w:w="3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 xml:space="preserve">надзор за соблюдением законодательства о занятости населения, пенсионном обеспечении </w:t>
            </w:r>
          </w:p>
        </w:tc>
      </w:tr>
      <w:tr w:rsidR="00EE6CD8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EE6CD8" w:rsidRDefault="00EE6CD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6CD8" w:rsidRDefault="00EE6CD8">
            <w:pPr>
              <w:pStyle w:val="table10"/>
              <w:spacing w:before="120"/>
            </w:pPr>
            <w:r>
              <w:t>надзор за соблюдением законодательства о труде и пенсионном обеспечении по вопросам предоставления компенсаций работникам за работу с вредными и (или) опасными условиями труда</w:t>
            </w:r>
          </w:p>
        </w:tc>
      </w:tr>
    </w:tbl>
    <w:p w:rsidR="00EE6CD8" w:rsidRDefault="00EE6CD8">
      <w:pPr>
        <w:pStyle w:val="newncpi"/>
      </w:pPr>
      <w:r>
        <w:t> </w:t>
      </w:r>
    </w:p>
    <w:p w:rsidR="00EE6CD8" w:rsidRDefault="00EE6CD8">
      <w:pPr>
        <w:pStyle w:val="snoskiline"/>
      </w:pPr>
      <w:r>
        <w:t>______________________________</w:t>
      </w:r>
    </w:p>
    <w:p w:rsidR="00EE6CD8" w:rsidRDefault="00EE6CD8">
      <w:pPr>
        <w:pStyle w:val="snoski"/>
        <w:spacing w:after="240"/>
      </w:pPr>
      <w:r>
        <w:t>* Контрольные списки вопросов (</w:t>
      </w:r>
      <w:proofErr w:type="gramStart"/>
      <w:r>
        <w:t>чек-листы</w:t>
      </w:r>
      <w:proofErr w:type="gramEnd"/>
      <w:r>
        <w:t>) используются контролирующими (надзорными) органами в отношении всех проверяемых субъектов, деятельность которых находится в соответствующей сфере контроля (надзора).</w:t>
      </w:r>
    </w:p>
    <w:p w:rsidR="00EE6CD8" w:rsidRDefault="00EE6CD8">
      <w:pPr>
        <w:pStyle w:val="newncpi"/>
      </w:pPr>
      <w:r>
        <w:t> </w:t>
      </w:r>
    </w:p>
    <w:p w:rsidR="00941E3F" w:rsidRDefault="00941E3F"/>
    <w:sectPr w:rsidR="00941E3F" w:rsidSect="00EE6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0B" w:rsidRDefault="009E0D0B" w:rsidP="00EE6CD8">
      <w:pPr>
        <w:spacing w:after="0" w:line="240" w:lineRule="auto"/>
      </w:pPr>
      <w:r>
        <w:separator/>
      </w:r>
    </w:p>
  </w:endnote>
  <w:endnote w:type="continuationSeparator" w:id="0">
    <w:p w:rsidR="009E0D0B" w:rsidRDefault="009E0D0B" w:rsidP="00EE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D8" w:rsidRDefault="00EE6C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D8" w:rsidRDefault="00EE6C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EE6CD8" w:rsidTr="00EE6CD8">
      <w:tc>
        <w:tcPr>
          <w:tcW w:w="1800" w:type="dxa"/>
          <w:shd w:val="clear" w:color="auto" w:fill="auto"/>
          <w:vAlign w:val="center"/>
        </w:tcPr>
        <w:p w:rsidR="00EE6CD8" w:rsidRDefault="00EE6CD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921B534" wp14:editId="1D31914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EE6CD8" w:rsidRDefault="00EE6CD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E6CD8" w:rsidRDefault="00EE6CD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EE6CD8" w:rsidRPr="00EE6CD8" w:rsidRDefault="00EE6CD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E6CD8" w:rsidRDefault="00EE6C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0B" w:rsidRDefault="009E0D0B" w:rsidP="00EE6CD8">
      <w:pPr>
        <w:spacing w:after="0" w:line="240" w:lineRule="auto"/>
      </w:pPr>
      <w:r>
        <w:separator/>
      </w:r>
    </w:p>
  </w:footnote>
  <w:footnote w:type="continuationSeparator" w:id="0">
    <w:p w:rsidR="009E0D0B" w:rsidRDefault="009E0D0B" w:rsidP="00EE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D8" w:rsidRDefault="00EE6CD8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6CD8" w:rsidRDefault="00EE6C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D8" w:rsidRPr="00EE6CD8" w:rsidRDefault="00EE6CD8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E6CD8">
      <w:rPr>
        <w:rStyle w:val="a7"/>
        <w:rFonts w:ascii="Times New Roman" w:hAnsi="Times New Roman" w:cs="Times New Roman"/>
        <w:sz w:val="24"/>
      </w:rPr>
      <w:fldChar w:fldCharType="begin"/>
    </w:r>
    <w:r w:rsidRPr="00EE6CD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E6CD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E6CD8">
      <w:rPr>
        <w:rStyle w:val="a7"/>
        <w:rFonts w:ascii="Times New Roman" w:hAnsi="Times New Roman" w:cs="Times New Roman"/>
        <w:sz w:val="24"/>
      </w:rPr>
      <w:fldChar w:fldCharType="end"/>
    </w:r>
  </w:p>
  <w:p w:rsidR="00EE6CD8" w:rsidRPr="00EE6CD8" w:rsidRDefault="00EE6CD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D8" w:rsidRDefault="00EE6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8"/>
    <w:rsid w:val="00941E3F"/>
    <w:rsid w:val="009E0D0B"/>
    <w:rsid w:val="00E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E6CD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E6CD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6CD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E6CD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E6CD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E6CD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6C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6CD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6CD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6CD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6CD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6CD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6CD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6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6CD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E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CD8"/>
  </w:style>
  <w:style w:type="paragraph" w:styleId="a5">
    <w:name w:val="footer"/>
    <w:basedOn w:val="a"/>
    <w:link w:val="a6"/>
    <w:uiPriority w:val="99"/>
    <w:unhideWhenUsed/>
    <w:rsid w:val="00EE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CD8"/>
  </w:style>
  <w:style w:type="character" w:styleId="a7">
    <w:name w:val="page number"/>
    <w:basedOn w:val="a0"/>
    <w:uiPriority w:val="99"/>
    <w:semiHidden/>
    <w:unhideWhenUsed/>
    <w:rsid w:val="00EE6CD8"/>
  </w:style>
  <w:style w:type="table" w:styleId="a8">
    <w:name w:val="Table Grid"/>
    <w:basedOn w:val="a1"/>
    <w:uiPriority w:val="59"/>
    <w:rsid w:val="00EE6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E6CD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E6CD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6CD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E6CD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E6CD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E6CD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E6C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6CD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6CD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6CD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6CD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6CD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6CD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6CD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6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6CD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E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CD8"/>
  </w:style>
  <w:style w:type="paragraph" w:styleId="a5">
    <w:name w:val="footer"/>
    <w:basedOn w:val="a"/>
    <w:link w:val="a6"/>
    <w:uiPriority w:val="99"/>
    <w:unhideWhenUsed/>
    <w:rsid w:val="00EE6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CD8"/>
  </w:style>
  <w:style w:type="character" w:styleId="a7">
    <w:name w:val="page number"/>
    <w:basedOn w:val="a0"/>
    <w:uiPriority w:val="99"/>
    <w:semiHidden/>
    <w:unhideWhenUsed/>
    <w:rsid w:val="00EE6CD8"/>
  </w:style>
  <w:style w:type="table" w:styleId="a8">
    <w:name w:val="Table Grid"/>
    <w:basedOn w:val="a1"/>
    <w:uiPriority w:val="59"/>
    <w:rsid w:val="00EE6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1623</Words>
  <Characters>12662</Characters>
  <Application>Microsoft Office Word</Application>
  <DocSecurity>0</DocSecurity>
  <Lines>324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2019-03-26T09:27:00Z</dcterms:created>
  <dcterms:modified xsi:type="dcterms:W3CDTF">2019-03-26T09:28:00Z</dcterms:modified>
</cp:coreProperties>
</file>